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1.jpeg" ContentType="image/jpeg"/>
  <Override PartName="/word/media/image4.png" ContentType="image/png"/>
  <Override PartName="/word/media/image12.png" ContentType="image/png"/>
  <Override PartName="/word/media/image6.jpeg" ContentType="image/jpeg"/>
  <Override PartName="/word/media/image3.png" ContentType="image/png"/>
  <Override PartName="/word/media/image1.png" ContentType="image/png"/>
  <Override PartName="/word/media/image8.jpeg" ContentType="image/jpeg"/>
  <Override PartName="/word/media/image5.jpeg" ContentType="image/jpeg"/>
  <Override PartName="/word/media/image2.png" ContentType="image/png"/>
  <Override PartName="/word/media/image7.jpeg" ContentType="image/jpeg"/>
  <Override PartName="/word/media/image9.jpeg" ContentType="image/jpeg"/>
  <Override PartName="/word/media/image14.png" ContentType="image/png"/>
  <Override PartName="/word/media/image10.jpeg" ContentType="image/jpeg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ОТЧЕТ ШМО УЧИТЕЛЕЙ </w:t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МАТЕМАТИКИ, ИНФОРМАТИКИ, ФИЗИКИ </w:t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за 2020 – 2021 учебный год</w:t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both"/>
        <w:rPr>
          <w:color w:val="8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 2020-2021 учебном году ШМО учителей математики, информатики и физики школы №27 г. Бишкек работало над проблемой: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cs="" w:ascii="Times New Roman" w:hAnsi="Times New Roman" w:cstheme="minorHAnsi"/>
          <w:b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«Совершенствование качества образования, обновление педагогических технологий в  условиях реализации государственных образовательных стандартов»</w:t>
      </w:r>
      <w:r>
        <w:rPr>
          <w:rFonts w:cs="Calibri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.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И это стало приоритетной целью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МО учителей физико-математического цикла.</w:t>
      </w:r>
    </w:p>
    <w:p>
      <w:pPr>
        <w:pStyle w:val="Style19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ШМО насчитывается 9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учителей: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Носинова Б.Ш.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учитель математики высшей категории, директор;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Короткова Е.Л.-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учитель физики высшей категории, зам.директора;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Поцепун А.Г.-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учитель информатики, зам.директора;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Базарбаева Ч.М.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учитель математики высшей категории;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Карымшаков С.Т.-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учитель физики, руководитель МО;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rPr>
          <w:color w:val="80000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Абдракманова А.А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- учитель математики;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Асанова М.К.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учитель математики;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Боубекова Ж.Б.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учитель математики;</w:t>
      </w:r>
    </w:p>
    <w:p>
      <w:pPr>
        <w:pStyle w:val="Style19"/>
        <w:widowControl/>
        <w:numPr>
          <w:ilvl w:val="0"/>
          <w:numId w:val="3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Мамбеталиева Н.Т.-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учитель информатики.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FFFFF"/>
        <w:spacing w:before="0" w:after="0"/>
        <w:ind w:left="0" w:right="0" w:hanging="0"/>
        <w:jc w:val="center"/>
        <w:rPr>
          <w:rFonts w:ascii="Times New Roman;serif" w:hAnsi="Times New Roman;serif"/>
          <w:b/>
          <w:b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Методическое объединение учителей ставило перед собой следующие задачи: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Создание  системы  формирования компетентностей учителя</w:t>
        <w:br/>
        <w:t>2. Проводить работу по реализации принципов преемственности в обучении.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3. Развитие методических компетентностей педагогов через овладение различными современными технологиями и методами обучения.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4. Повышение общего уровня профессионально-педагогической культуры, работа по развитию  педагогического мышления.</w:t>
        <w:br/>
        <w:t>5. Проверка уровня сформированности у учащихся  комплекса  знаний по предмету.</w:t>
        <w:br/>
        <w:t>6. Диагностика  знаний, умений и навыков, приобретенных учащимися в процессе учебной деятельности.</w:t>
        <w:br/>
        <w:t>7. Развитие навыков самоконтроля  у учащихся.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8. Углубление знаний по предметам  физико-математического цикла.</w:t>
        <w:br/>
        <w:t>9. Расширение кругозора учащихся, развитие  их творческих способностей и  интеллекта, стимулирование активной познавательной деятельности.</w:t>
        <w:br/>
        <w:t xml:space="preserve">10. </w:t>
      </w: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Обмен опытом  по организации внеклассной работы как между членами МО, так и между членами педагогического коллектива.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11. Организовать  работу  учителей по самообразованию.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12. Развивать навыки самоанализа работы  у учителей.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13. Продолжить  и активизировать работу с  учащимися по написанию исследовательских проектов.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14. Анализ текущей успеваемости учащихся, разработка мероприятий по совершенствованию учебного процесса.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15. Ознакомление учителей с новыми инновационными технологиями обучения и воспитания, новинками методической литературы.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cs="" w:ascii="Times New Roman" w:hAnsi="Times New Roman" w:cs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16. Работа по оказанию методической помощи учителям МО с целью роста их профессионального мастерства.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FFFFF"/>
        <w:spacing w:before="0" w:after="0"/>
        <w:ind w:left="0" w:right="0" w:hanging="0"/>
        <w:jc w:val="center"/>
        <w:rPr>
          <w:color w:val="000000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Согласно утвержденного плана работа велась по следующим направлениям: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800000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1. Организационно-педагогическая деятельность.</w:t>
        <w:br/>
        <w:t>2. Учебно-методическая деятельность.</w:t>
        <w:br/>
        <w:t>3. Мероприятия по усвоению обязательного минимума образования.</w:t>
        <w:br/>
        <w:t>4. Организация внеклассной работы по предметам физико-математического цикла</w:t>
        <w:br/>
        <w:t>5. Научно-методическая деятельность учителей.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color w:val="000000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6. Заседания методического совета.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1. Организационно-педагогическая деятельность (см. Приложение 1).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verdana;sans-serif" w:hAnsi="arial;verdan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Из всех взаимосвязанных функций управленческого цикла есть особая стадия, от которой зависит качество функционирования и развития образовательного учреждения, организация исполнения решений.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verdana;sans-serif" w:hAnsi="arial;verdan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>Организационно- педагогическая деятельность учителя сложна и динамична. Успех ее определяется прежде всего четким представлением о сущности, цели, принципов и методов реализации этой деятельности.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1.1. На 1-ом этапе учителя работали  над   календарно-тематическим  планированием по предметам  с  учетом  новых требований Государственного образовательного стандарта. 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verdana;sans-serif" w:hAnsi="arial;verdan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1.2. На 2-ом этапе учителя пополняли портфолио на сайте школы. В портфолио каждый учитель приложил фотографию, девиз, данные о повышении квалификации, достижения и награды.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20320</wp:posOffset>
            </wp:positionH>
            <wp:positionV relativeFrom="paragraph">
              <wp:posOffset>100965</wp:posOffset>
            </wp:positionV>
            <wp:extent cx="2157730" cy="28981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2277110</wp:posOffset>
            </wp:positionH>
            <wp:positionV relativeFrom="paragraph">
              <wp:posOffset>109220</wp:posOffset>
            </wp:positionV>
            <wp:extent cx="3554095" cy="28257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verdana;sans-serif" w:hAnsi="arial;verdan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1.3. 3-й этап включал посещение открытых уроков учителей нач. классов и наоборот.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800000"/>
          <w:spacing w:val="0"/>
          <w:sz w:val="18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Обмен опытом – один из наиболее важных видов методической работы и эффективный путь повышения  уровня методической подготовки любого  учителя. Обмен опытом может осуществляться через посещение уроков у коллег. Однако продуктивность таких посещений зависит, как минимум, от двух факторов:</w:t>
      </w:r>
    </w:p>
    <w:p>
      <w:pPr>
        <w:pStyle w:val="Style19"/>
        <w:widowControl/>
        <w:ind w:left="0" w:right="0" w:hanging="0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800000"/>
          <w:spacing w:val="0"/>
          <w:sz w:val="1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1) от степени осознаваемой учителем субъективной новизны посещенного урока;</w:t>
      </w:r>
    </w:p>
    <w:p>
      <w:pPr>
        <w:pStyle w:val="Style19"/>
        <w:widowControl/>
        <w:ind w:left="0" w:right="0" w:hanging="0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800000"/>
          <w:spacing w:val="0"/>
          <w:sz w:val="1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2) от умения видеть и осваивать новое, включать его в свою деятельность, соотнося со своими профессионально-личностными потребностями и возможностями.</w:t>
      </w:r>
    </w:p>
    <w:p>
      <w:pPr>
        <w:pStyle w:val="Style19"/>
        <w:widowControl/>
        <w:ind w:left="0" w:right="0" w:hanging="0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800000"/>
          <w:spacing w:val="0"/>
          <w:sz w:val="1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ab/>
        <w:t>При посещении урока с целью развития методической компетентности учителя решающее значение приобретает рефлексивная деятельность учителя как субъекта профессионально-личностного саморазвития. Нельзя забывать, что главной целью посещения уроков учителем является методическая учеба, повышение собственного профессионального уровня. И как любая учебная деятельность, она наиболее эффективна, если учитель тщательно подготовится к посещению урока у коллеги, а во время урока будет внимательно наблюдать, фиксируя результаты своего наблюдения.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verdana;sans-serif" w:hAnsi="arial;verdan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После посещения урока необходимо осмыслить то, что записано на уроке и  принять участие в обсуждении и анализе посещенного урока . Если обсуждение урока не организуется, посещающему урок коллеги педагогу всё равно надо узнать мнение самого учителя об уроке, задать ему вопросы о том, что в уроке осталось не совсем ясным, поделится собственными впечатлениями.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Примеры анализов уроков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783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92075</wp:posOffset>
            </wp:positionH>
            <wp:positionV relativeFrom="paragraph">
              <wp:posOffset>97790</wp:posOffset>
            </wp:positionV>
            <wp:extent cx="6120130" cy="42329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Helvetica;sans-serif" w:hAnsi="Arial;Helvetica;sans-serif"/>
          <w:b w:val="false"/>
          <w:b w:val="false"/>
          <w:bCs w:val="false"/>
          <w:i w:val="false"/>
          <w:i w:val="false"/>
          <w:caps w:val="false"/>
          <w:smallCaps w:val="false"/>
          <w:color w:val="333333"/>
          <w:spacing w:val="0"/>
          <w:sz w:val="1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Arial;Helvetica;sans-serif" w:hAnsi="Arial;Helvetica;sans-serif"/>
          <w:b w:val="false"/>
          <w:b w:val="false"/>
          <w:bCs w:val="false"/>
          <w:i w:val="false"/>
          <w:i w:val="false"/>
          <w:caps w:val="false"/>
          <w:smallCaps w:val="false"/>
          <w:color w:val="333333"/>
          <w:spacing w:val="0"/>
          <w:sz w:val="1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Таким образом, цель деятельности, связанной с посещением уроков педагогом у своего коллеги, заключается в том, чтобы заимствовать положительный опыт и учиться на чужих ошибках.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b/>
          <w:b/>
          <w:bCs/>
          <w:i w:val="false"/>
          <w:i w:val="false"/>
          <w:iCs w:val="false"/>
          <w:caps w:val="false"/>
          <w:smallCaps w:val="false"/>
          <w:spacing w:val="0"/>
        </w:rPr>
      </w:pPr>
      <w:r>
        <w:rPr>
          <w:b/>
          <w:bCs/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2. Учебно-методическая деятельность.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Verdana;sans-serif" w:hAnsi="Verdana;sans-serif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1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2.1. Методическое объединение работает над своей методической темой </w:t>
      </w:r>
      <w:r>
        <w:rPr>
          <w:rFonts w:cs="" w:ascii="Times New Roman" w:hAnsi="Times New Roman" w:cstheme="minorHAns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«Внедрение в практику работы учителей ШМО активных форм и методов обучения с целью реализации Государственных Образовательных Стандартов»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, связанной с методической темой школы, и в своей деятельности, прежде всего, ориентируется на организацию методической помощи учителю в межкурсовой период. Методическое объединение продолжает исследовать концепции современного преподавания по предмету, отслеживают эффективность преподавания по альтернативным учебникам. В течение года проводятся заседания МО по плану, на которых рассматриваются конкретные вопросы преподавания, влияющие на качество обучения, мотивацию УВП, на повышение эффективности уроков; обсуждаются вопросы по ЕГЭ: проблемы подготовки к ЕГЭ. Специфика отдельных приемов, типы современных уроков, проблемы, поиски, перспективы преподавания – все это работа, составляющая педагогическую мастерскую методических объединений. Как показывает анализ работы МО, продолжается работа учителей по теме самообразования. Все педагогические работники школы имеют планы по самообразованию и проводят анализ своей работы на заседаниях методических объединений (могут и на заседаниях МО города, методического совета школы и т.п.) учителя методических объединений продолжают работу по мониторингу обучения.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Verdana;sans-serif" w:hAnsi="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2.2.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Последние два десятилетия многое изменилось в образовании. Сегодня нет такого учителя, который не задумывался бы над вопросами: «Как сделать урок интересным, ярким? Как увлечь ребят своим предметом? Как приковать их неустойчивое внимание к уроку, не принуждая к этому силой?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Verdana;sans-serif" w:hAnsi="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8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>И это не случайно. Новая организация общества, новое отношение к жизни предъявляют и новые требования к школе. Сегодня основная цель обучения - это не только накопление учеником определенной суммы знаний, умений, навыков, но и подготовка школьника как самостоятельного субъекта образовательной деятельности.</w:t>
      </w:r>
    </w:p>
    <w:p>
      <w:pPr>
        <w:pStyle w:val="Style19"/>
        <w:widowControl/>
        <w:shd w:val="clear" w:fill="F5F5F5"/>
        <w:spacing w:before="0" w:after="0"/>
        <w:jc w:val="left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В поисках новых идей наши учителя обратились к нестандартным формам урока, то есть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к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</w:rPr>
        <w:t>современным образовательным технологиям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,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которые обеспечивают активное участие в уроке каждого ученика, повышают авторитет знаний и индивидуальную ответственность школьника за результаты учебного труда. Такие уроки создают атмосферу сотрудничества и коллективизма, активизируют творческие силы учеников, расширяют его кругозор, ставят перед ситуацией выбора принятия самостоятельного решения.</w:t>
      </w:r>
    </w:p>
    <w:p>
      <w:pPr>
        <w:pStyle w:val="Style19"/>
        <w:widowControl/>
        <w:shd w:val="clear" w:fill="F5F5F5"/>
        <w:spacing w:before="0" w:after="0"/>
        <w:jc w:val="left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ab/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Р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аботая в школе, WhatsApp, Zoom и др. интернет-приложения помогают нам продолжать работать с учащимися, если аудиторное обучение прервано.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143510</wp:posOffset>
            </wp:positionH>
            <wp:positionV relativeFrom="paragraph">
              <wp:posOffset>235585</wp:posOffset>
            </wp:positionV>
            <wp:extent cx="2233930" cy="3191510"/>
            <wp:effectExtent l="0" t="0" r="0" b="0"/>
            <wp:wrapSquare wrapText="largest"/>
            <wp:docPr id="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3186430</wp:posOffset>
            </wp:positionH>
            <wp:positionV relativeFrom="paragraph">
              <wp:posOffset>152400</wp:posOffset>
            </wp:positionV>
            <wp:extent cx="1692275" cy="3383915"/>
            <wp:effectExtent l="0" t="0" r="0" b="0"/>
            <wp:wrapSquare wrapText="largest"/>
            <wp:docPr id="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2.3 Большую пользу в профессиональном росте учителя играет участие в различных семинарах, тренингах, круглых столах с участием коллег из других образовательных учреждений. </w:t>
      </w:r>
    </w:p>
    <w:p>
      <w:pPr>
        <w:pStyle w:val="Normal"/>
        <w:widowControl/>
        <w:shd w:val="clear" w:color="auto" w:fill="FFFFFF"/>
        <w:spacing w:lineRule="auto" w:line="240" w:beforeAutospacing="1" w:afterAutospacing="1"/>
        <w:jc w:val="left"/>
        <w:rPr>
          <w:caps w:val="false"/>
          <w:smallCaps w:val="false"/>
          <w:color w:val="000000"/>
          <w:spacing w:val="0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lang w:eastAsia="ru-RU"/>
        </w:rPr>
        <w:t>-Базарбаева Ч.М. 27.01.2021г. в АФМШЛ №61 на тему: «Задачи на школьной олимпиаде по математике для учащихся 10-11 классов».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3. Мероприятия по усвоению обязательного минимума образования 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3.1. </w:t>
      </w: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В рамках внутри школьного контроля на протяжении всего учебного года была проведена проверка рабочих тетрадей по математике, физике и информатике в соответствии с ГОССТАНДАРТУ. Цель проверки: правильность оформления письменных работ; соблюдение единого орфографического режима; наличие (отсутствие) работы над ошибками; правильность подписи тетрадей в начальной школе; соответствие объема классных и домашних работ.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Были проверены рабочие тетради учащихся 5-11 классов, всего более тысячи тетрадей. Качество проверки ученических работ удовлетворительное. Единый орфографический режим в целом соблюдается. Большая часть учащихся пишут аккуратным, разборчивым почерком. Но есть случаи, когда соблюдение правил каллиграфии не выполняется учащимися. 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В целом, состояние тетрадей удовлетворительное. Объем классных и домашних работ, разнообразие видов классной работы и ее объем, достаточность и полнота выполнения домашних работ в целом соответствует норме. 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Пример рабочей тетради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49530</wp:posOffset>
            </wp:positionH>
            <wp:positionV relativeFrom="paragraph">
              <wp:posOffset>635</wp:posOffset>
            </wp:positionV>
            <wp:extent cx="3017520" cy="2327275"/>
            <wp:effectExtent l="0" t="0" r="0" b="0"/>
            <wp:wrapSquare wrapText="largest"/>
            <wp:docPr id="7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3124835</wp:posOffset>
            </wp:positionH>
            <wp:positionV relativeFrom="paragraph">
              <wp:posOffset>635</wp:posOffset>
            </wp:positionV>
            <wp:extent cx="2985770" cy="3582670"/>
            <wp:effectExtent l="0" t="0" r="0" b="0"/>
            <wp:wrapSquare wrapText="largest"/>
            <wp:docPr id="8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i w:val="false"/>
          <w:i w:val="false"/>
          <w:iCs w:val="false"/>
          <w:caps w:val="false"/>
          <w:smallCaps w:val="false"/>
          <w:spacing w:val="0"/>
        </w:rPr>
      </w:pPr>
      <w:r>
        <w:rPr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3.2. Административные контрольные работы являются независимой внутренней оценкой качества образования  в школе. Контрольные работы проводятся администрацией  школы в рамках внутри школьного контроля с целью педагогического анализа результатов труда учителей и состояния учебно-воспитательного процесса. 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По результатам проведения административных контрольных работ была составлена справка-анализ с рекомендациями по улучшению образовательного процесса.</w:t>
      </w:r>
    </w:p>
    <w:p>
      <w:pPr>
        <w:pStyle w:val="Normal"/>
        <w:widowControl/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Административные контрольные работы в 2020-2021 учебном году</w:t>
      </w:r>
    </w:p>
    <w:tbl>
      <w:tblPr>
        <w:tblW w:w="9240" w:type="dxa"/>
        <w:jc w:val="left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1200"/>
        <w:gridCol w:w="840"/>
        <w:gridCol w:w="1360"/>
        <w:gridCol w:w="1020"/>
        <w:gridCol w:w="1020"/>
        <w:gridCol w:w="2100"/>
        <w:gridCol w:w="1699"/>
      </w:tblGrid>
      <w:tr>
        <w:trPr/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 проведения ДКР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Качество, %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ФИО учителя</w:t>
            </w:r>
          </w:p>
        </w:tc>
        <w:tc>
          <w:tcPr>
            <w:tcW w:w="16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Предложения по улучшению</w:t>
            </w:r>
          </w:p>
        </w:tc>
      </w:tr>
      <w:tr>
        <w:trPr/>
        <w:tc>
          <w:tcPr>
            <w:tcW w:w="12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14.09.2020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Абдыракманова А.А</w:t>
            </w:r>
          </w:p>
        </w:tc>
        <w:tc>
          <w:tcPr>
            <w:tcW w:w="169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Уделить внимание развитию вычислительных навыков</w:t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5в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10.09.2020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5г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Мамбеталиева Н.Т.</w:t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5д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15.10.2020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Карымшаков С.Т.</w:t>
            </w:r>
          </w:p>
        </w:tc>
        <w:tc>
          <w:tcPr>
            <w:tcW w:w="169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Отработка умения и навыков при оформлении задач, перевод физических величин в СИ</w:t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8в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8г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01.03.2021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1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Базарбаева Ч.М.</w:t>
            </w:r>
          </w:p>
        </w:tc>
        <w:tc>
          <w:tcPr>
            <w:tcW w:w="169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Повторить  тригонометрические функции</w:t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10б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10в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10г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02.03.2021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Повторить правила вычисления производных</w:t>
            </w:r>
          </w:p>
        </w:tc>
      </w:tr>
      <w:tr>
        <w:trPr/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04.03.2021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11б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02.03.2021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11в</w:t>
            </w:r>
          </w:p>
        </w:tc>
        <w:tc>
          <w:tcPr>
            <w:tcW w:w="136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0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Style2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widowControl/>
        <w:shd w:val="clear" w:fill="F5F5F5"/>
        <w:spacing w:before="0" w:after="0"/>
        <w:jc w:val="left"/>
        <w:rPr>
          <w:rFonts w:ascii="Times New Roman" w:hAnsi="Times New Roman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/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3.3. </w:t>
      </w:r>
      <w:r>
        <w:rPr/>
        <w:t xml:space="preserve">Согласно закону «Об образовании в Кыргызской Республике»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образования. 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>Итоговая государственная аттестация (ИГА) представляет собой форму объективной оценки качества подготовки лиц, освоивших образовательные программы основного и среднего общего образования, с использованием контрольных измерительных материалов, представляющих собой комплексы заданий стандартизированной формы, выполнение которых позволяет установить уровень освоения государственного образовательного стандарта.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>Анализ результатов ИГА-2018 в проводился в целях определения: - уровня и качества овладения обучающимися содержанием учебных предметов, -факторов и условий, повлиявших на качество результатов государственной (итоговой) аттестации выпускников школы.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>К ИГА по математике решением педсовета были допущены все учащиеся 9 классов (133). Экзаменующие учител</w:t>
      </w:r>
      <w:r>
        <w:rPr>
          <w:rFonts w:ascii="Times New Roman" w:hAnsi="Times New Roman"/>
          <w:sz w:val="24"/>
          <w:szCs w:val="24"/>
        </w:rPr>
        <w:t>я — Носинова Б.Ш.  и Короткова Е.Л.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Показатели качества знаний по математике на ИГА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в 9 классах   за 2020-2021 учебный год</w:t>
      </w:r>
    </w:p>
    <w:p>
      <w:pPr>
        <w:pStyle w:val="Normal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</w:r>
    </w:p>
    <w:tbl>
      <w:tblPr>
        <w:tblW w:w="9638" w:type="dxa"/>
        <w:jc w:val="left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</w:tblPr>
      <w:tblGrid>
        <w:gridCol w:w="1070"/>
        <w:gridCol w:w="1071"/>
        <w:gridCol w:w="1071"/>
        <w:gridCol w:w="1071"/>
        <w:gridCol w:w="1067"/>
        <w:gridCol w:w="1070"/>
        <w:gridCol w:w="1071"/>
        <w:gridCol w:w="2"/>
        <w:gridCol w:w="1069"/>
        <w:gridCol w:w="2"/>
        <w:gridCol w:w="1073"/>
      </w:tblGrid>
      <w:tr>
        <w:trPr/>
        <w:tc>
          <w:tcPr>
            <w:tcW w:w="107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оценива-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0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Колич.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4281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знаний,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Успевае-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мость,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  </w:t>
            </w:r>
          </w:p>
        </w:tc>
      </w:tr>
      <w:tr>
        <w:trPr/>
        <w:tc>
          <w:tcPr>
            <w:tcW w:w="107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19  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экзамен   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9г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>
      <w:pPr>
        <w:pStyle w:val="Normal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 xml:space="preserve">       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Качество знаний на ИГА по математике в 9 классах составило 45%. В 2019-2020 учебном году оно составляло 48%. Снижение обусловлено тем, что в первом полугодии ученики обучались в он-лайн режиме.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     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В одиннадцатой параллели математику преподавала Базарбаева Ч.М.. К Государствен-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ному экзамену по математике решением педсовета школы были допущены все учащиеся 11 классов.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Показатели качества знаний по математике на ИГА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в 11 классах за 2020-2021 учебный год</w:t>
      </w:r>
    </w:p>
    <w:tbl>
      <w:tblPr>
        <w:tblW w:w="9638" w:type="dxa"/>
        <w:jc w:val="left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</w:tblPr>
      <w:tblGrid>
        <w:gridCol w:w="1070"/>
        <w:gridCol w:w="1071"/>
        <w:gridCol w:w="1071"/>
        <w:gridCol w:w="1071"/>
        <w:gridCol w:w="1067"/>
        <w:gridCol w:w="1070"/>
        <w:gridCol w:w="1071"/>
        <w:gridCol w:w="2"/>
        <w:gridCol w:w="1069"/>
        <w:gridCol w:w="2"/>
        <w:gridCol w:w="1073"/>
      </w:tblGrid>
      <w:tr>
        <w:trPr/>
        <w:tc>
          <w:tcPr>
            <w:tcW w:w="107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оценива-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0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Колич.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4281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знаний,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Успевае-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мость,</w:t>
            </w:r>
          </w:p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  </w:t>
            </w:r>
          </w:p>
        </w:tc>
      </w:tr>
      <w:tr>
        <w:trPr/>
        <w:tc>
          <w:tcPr>
            <w:tcW w:w="107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  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11в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экзамен   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/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Style2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>
      <w:pPr>
        <w:pStyle w:val="Normal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   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Качество знаний, полученное на ИГА  по математике составило 54%, тогда как в 2019-2020 оно составляло 61%. Объяснить это можно тем, что ученики находились некоторое время на он-лайн обучении. </w:t>
      </w:r>
    </w:p>
    <w:p>
      <w:pPr>
        <w:pStyle w:val="Normal"/>
        <w:widowControl/>
        <w:numPr>
          <w:ilvl w:val="1"/>
          <w:numId w:val="2"/>
        </w:numPr>
        <w:shd w:val="clear" w:fill="F5F5F5"/>
        <w:bidi w:val="0"/>
        <w:spacing w:lineRule="auto" w:line="240" w:before="0" w:after="0"/>
        <w:ind w:left="0" w:right="0" w:hanging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4. Организация внеклассной работы по предметам физико-математического цикла. </w:t>
      </w:r>
    </w:p>
    <w:p>
      <w:pPr>
        <w:pStyle w:val="Normal"/>
        <w:widowControl/>
        <w:numPr>
          <w:ilvl w:val="1"/>
          <w:numId w:val="2"/>
        </w:numPr>
        <w:shd w:val="clear" w:fill="F5F5F5"/>
        <w:bidi w:val="0"/>
        <w:spacing w:lineRule="auto" w:line="240" w:before="0" w:after="0"/>
        <w:ind w:left="0" w:right="0" w:hanging="567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Сегодня на первый план в системе образования выходит проблема организации внеклассной и внеурочной деятельности. В свете новых стандартов образования учитель должен не только научить обучающихся добывать глубокие и прочные знания по изучаемому предмету, но и научить применять их на практике. Целью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 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внеурочной деятельности является создание условий для проявления ребенком своих интересов на основе свободного выбора, постижения духовно-нравственных ценностей и культурных традиций. В том, что образовательное учреждение заинтересовано в решении организации внеклассной и внеурочной деятельности объясняется новым взглядом на образовательные результаты. Особенно это касается метапредметных и личностных результатов, так как обучающийся выбирает исходя из своих интересов и мотивов.</w:t>
      </w:r>
    </w:p>
    <w:p>
      <w:pPr>
        <w:pStyle w:val="Normal"/>
        <w:widowControl/>
        <w:numPr>
          <w:ilvl w:val="1"/>
          <w:numId w:val="2"/>
        </w:numPr>
        <w:shd w:val="clear" w:fill="F5F5F5"/>
        <w:bidi w:val="0"/>
        <w:spacing w:lineRule="auto" w:line="240" w:before="0" w:after="0"/>
        <w:ind w:left="0" w:right="0" w:hanging="567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Внеклассная работа по математике и предметам естественно-математического цикла призвана решать две основные задачи: 1. Повысить уровень математического мышления, углубить теоретические знания и развить практические навыки учащихся, проявивших математические способности; 2. Способствовать возникновению интереса к математике у большинства учеников.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С целью повышения интереса обучающихся к предметам физико-математического цикла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в соответствии с планом работы школы и МО в школе прошла единая неделя математики,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физики и информатики, в рамках которой дети составляли кроссворды, ребусы, математические сказки и участвовали в математических играх, викторинах. Все мероприятия проводились в хорошем темпе, укладывались в отведенное время, поддерживалась хорошая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дисциплина за счет интересного содержания конкурсов и контроля со стороны учителей-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организаторов. Наблюдалась слаженная работа всех членов методического объединения,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своевременная координация действий, взаимопомощь и поддержка.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В рамках проведения декады методического объединения учителя дали открытые уроки: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Урок алгебры в 9 «А» классе «Определение геометрической прогрессии»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Учитель: Асанова М.К.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Урок алгебры в 9 «В» классе «Арифметическая прогрессия»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Учитель: Носинова Б.Ш.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Урок алгебры в 8 «А» классе «Решение задач с помощью дробных рациональных уравнений»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Учитель: Базарбаева Ч.М.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Урок математики в 5 «В» классе «Сложение и вычитание десятичных дробей»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Учитель: Абдыракманова А.А.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Урок физики в 9 «Б» классе «Масса. Инертность»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Учитель: Карымшаков С.Т.</w:t>
      </w:r>
    </w:p>
    <w:p>
      <w:pPr>
        <w:pStyle w:val="Normal"/>
        <w:numPr>
          <w:ilvl w:val="0"/>
          <w:numId w:val="0"/>
        </w:numPr>
        <w:ind w:left="432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Следует отметить, ученики 9 «В» класса под руководством учителя Носиновой Б.Ш. провели внеклассное мероприятие (театрализованное костюмированное представление) на тему «Геометрическая прогрессия». Очевидно дети надолго запомнят эту тему.</w:t>
      </w:r>
    </w:p>
    <w:p>
      <w:pPr>
        <w:pStyle w:val="Normal"/>
        <w:widowControl/>
        <w:numPr>
          <w:ilvl w:val="1"/>
          <w:numId w:val="2"/>
        </w:numPr>
        <w:shd w:val="clear" w:fill="F5F5F5"/>
        <w:bidi w:val="0"/>
        <w:spacing w:lineRule="auto" w:line="240"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Кроме того, была проведена он-лайн выставка на тему «Физика и не только..», где учащиеся рассказали и показали о своих достижениях и намерениях в увлекательной креативной форме (учитель Карымшаков С.Т.).</w:t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Открытый урок учитель Носинова Б.Ш</w:t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459740</wp:posOffset>
            </wp:positionH>
            <wp:positionV relativeFrom="paragraph">
              <wp:posOffset>635</wp:posOffset>
            </wp:positionV>
            <wp:extent cx="2723515" cy="3631565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3298825</wp:posOffset>
            </wp:positionH>
            <wp:positionV relativeFrom="paragraph">
              <wp:posOffset>53975</wp:posOffset>
            </wp:positionV>
            <wp:extent cx="2576830" cy="3596640"/>
            <wp:effectExtent l="0" t="0" r="0" b="0"/>
            <wp:wrapSquare wrapText="largest"/>
            <wp:docPr id="1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20685" r="0" b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293370</wp:posOffset>
            </wp:positionH>
            <wp:positionV relativeFrom="paragraph">
              <wp:posOffset>1270</wp:posOffset>
            </wp:positionV>
            <wp:extent cx="6120130" cy="2753995"/>
            <wp:effectExtent l="0" t="0" r="0" b="0"/>
            <wp:wrapSquare wrapText="largest"/>
            <wp:docPr id="1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5. Научно-методическая деятельность учителей.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/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«Обучать — значит вдвойне учиться». Цитата 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Ж. Жубер, </w:t>
      </w:r>
      <w:r>
        <w:rPr>
          <w:rStyle w:val="Style17"/>
          <w:rFonts w:ascii="Times New Roman" w:hAnsi="Times New Roman"/>
          <w:b w:val="false"/>
          <w:bCs/>
          <w:i w:val="false"/>
          <w:iCs w:val="false"/>
          <w:color w:val="000000"/>
          <w:spacing w:val="0"/>
          <w:sz w:val="24"/>
          <w:szCs w:val="24"/>
        </w:rPr>
        <w:t>(1754—1824 гг.), писатель-романтик и моралист.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/>
      </w:pPr>
      <w:r>
        <w:rPr>
          <w:rStyle w:val="Style17"/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/>
      </w:pPr>
      <w:r>
        <w:rPr>
          <w:rStyle w:val="Style17"/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Методическая работа - это основной вид образовательной деятельности, представляющей собой совокупность мероприятий, проводимых администрацией школы, учителями  в целях овладения методами и приемами учебно-воспитательной работы, творческого применения их на уроке и во внеклассной работе, поиска новых, наиболее рациональных и эффективных форм и методов организации, проведения и обеспечения образовательного процесса. Это целостная система, основанная на достижениях передового педагогического опыта и на конкретном анализе учебно-воспитательного процесса. Прямой целью методической работы является рост уровня педагогического мастерства отдельного учителя и всего педагогического коллектива, оказание действенной помощи учителям и классным руководителям в улучшении организации обучения и воспитания, обобщении и внедрении передового педагогического опыта, повышении теоретического уровня и педагогической квалификации преподавателей и руководства школы.</w:t>
      </w:r>
    </w:p>
    <w:p>
      <w:pPr>
        <w:pStyle w:val="Style19"/>
        <w:widowControl/>
        <w:shd w:val="clear" w:fill="F5F5F5"/>
        <w:spacing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/>
      </w:pPr>
      <w:r>
        <w:rPr>
          <w:rStyle w:val="Style17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Научно-исследовательский проект 8 Г класс Ташбаева Айжаркын</w:t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/>
      </w:pPr>
      <w:r>
        <w:rPr>
          <w:rStyle w:val="Style17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Style w:val="Style17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Колонка на Ютубе, посвященная проблемам экологии</w:t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10160</wp:posOffset>
            </wp:positionH>
            <wp:positionV relativeFrom="paragraph">
              <wp:posOffset>122555</wp:posOffset>
            </wp:positionV>
            <wp:extent cx="5963285" cy="3352165"/>
            <wp:effectExtent l="0" t="0" r="0" b="0"/>
            <wp:wrapSquare wrapText="largest"/>
            <wp:docPr id="1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rPr/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Научно-исследовательский проект</w:t>
        <w:tab/>
        <w:t xml:space="preserve">6 класс Тариэль уулу Тилек </w:t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Fonts w:ascii="Times New Roman" w:hAnsi="Times New Roman"/>
          <w:b w:val="false"/>
          <w:b w:val="false"/>
          <w:bCs w:val="false"/>
        </w:rPr>
      </w:pPr>
      <w:r>
        <w:rPr>
          <w:rStyle w:val="Style17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ab/>
        <w:tab/>
        <w:tab/>
        <w:tab/>
        <w:tab/>
        <w:t>Тилек робот на 3D принтере</w:t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779145</wp:posOffset>
            </wp:positionH>
            <wp:positionV relativeFrom="paragraph">
              <wp:posOffset>154305</wp:posOffset>
            </wp:positionV>
            <wp:extent cx="3749675" cy="2811780"/>
            <wp:effectExtent l="0" t="0" r="0" b="0"/>
            <wp:wrapSquare wrapText="largest"/>
            <wp:docPr id="1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shd w:val="clear" w:fill="F5F5F5"/>
        <w:tabs>
          <w:tab w:val="left" w:pos="0" w:leader="none"/>
        </w:tabs>
        <w:bidi w:val="0"/>
        <w:spacing w:lineRule="atLeast" w:line="195" w:before="0" w:after="0"/>
        <w:jc w:val="left"/>
        <w:rPr>
          <w:rStyle w:val="Style17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6. Заседания методического совета (см. Приложение 6.1-6.2).</w:t>
      </w:r>
    </w:p>
    <w:p>
      <w:pPr>
        <w:pStyle w:val="Style19"/>
        <w:widowControl/>
        <w:numPr>
          <w:ilvl w:val="2"/>
          <w:numId w:val="2"/>
        </w:numPr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В 2020-2021 учебном году было проведено 5 заседаний МО в различных формах: презентаций педагогического опыта, методических диалогов, тренингов. </w:t>
      </w:r>
    </w:p>
    <w:p>
      <w:pPr>
        <w:pStyle w:val="Style19"/>
        <w:widowControl/>
        <w:numPr>
          <w:ilvl w:val="2"/>
          <w:numId w:val="2"/>
        </w:numPr>
        <w:shd w:val="clear" w:fill="F5F5F5"/>
        <w:spacing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Работа методического объединения проводилась по плану.</w:t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05375" cy="7019925"/>
            <wp:effectExtent l="0" t="0" r="0" b="0"/>
            <wp:wrapSquare wrapText="largest"/>
            <wp:docPr id="1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jc w:val="left"/>
        <w:rPr>
          <w:rFonts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pacing w:val="0"/>
        </w:rPr>
      </w:pPr>
      <w:r>
        <w:rPr>
          <w:rFonts w:cs="Times New Roman"/>
          <w:b w:val="false"/>
          <w:bCs w:val="false"/>
          <w:i w:val="false"/>
          <w:iCs w:val="false"/>
          <w:caps w:val="false"/>
          <w:smallCaps w:val="false"/>
          <w:spacing w:val="0"/>
        </w:rPr>
      </w:r>
    </w:p>
    <w:p>
      <w:pPr>
        <w:pStyle w:val="Style19"/>
        <w:widowControl/>
        <w:numPr>
          <w:ilvl w:val="1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5 заседание. Июнь.  Итоги работы МО учителей за 2020-1021 учебный год.</w:t>
      </w:r>
    </w:p>
    <w:p>
      <w:pPr>
        <w:pStyle w:val="Style19"/>
        <w:widowControl/>
        <w:numPr>
          <w:ilvl w:val="2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Среди традиционных форм работы были проведены и такие, как: взаимопосещение уроков, круглые столы.</w:t>
      </w:r>
    </w:p>
    <w:p>
      <w:pPr>
        <w:pStyle w:val="Style19"/>
        <w:widowControl/>
        <w:numPr>
          <w:ilvl w:val="2"/>
          <w:numId w:val="2"/>
        </w:numPr>
        <w:shd w:val="clear" w:fill="F5F5F5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Все заседания проведены своевременно, на них рассматривались не только теоретические вопросы, но и проводились практические семинары, во время которых учителя обменивались своим опытом, что позволило заинтересовать учителей проводимой работой, способствовало проявлению инициативы, творчества. </w:t>
      </w:r>
    </w:p>
    <w:p>
      <w:pPr>
        <w:pStyle w:val="Normal"/>
        <w:widowControl/>
        <w:shd w:val="clear" w:fill="F5F5F5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jc w:val="center"/>
        <w:rPr>
          <w:rFonts w:ascii="Times New Roman;serif" w:hAnsi="Times New Roman;serif"/>
          <w:b/>
          <w:b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Недостатки в работе ШМО и планы на будущее.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Несмотря на значительные успехи в работе ШМО у нас имеются и проблемы. Нет победителей олимпиад по математике, физике, мало представлено конкурентно - способных работ на конференцию. Поэтому в следующем учебном году перед ШМО стоят такие задачи:</w:t>
      </w:r>
    </w:p>
    <w:p>
      <w:pPr>
        <w:pStyle w:val="Style19"/>
        <w:widowControl/>
        <w:numPr>
          <w:ilvl w:val="0"/>
          <w:numId w:val="4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Продолжить работу над выбранными проблемами.</w:t>
      </w:r>
    </w:p>
    <w:p>
      <w:pPr>
        <w:pStyle w:val="Style19"/>
        <w:widowControl/>
        <w:numPr>
          <w:ilvl w:val="0"/>
          <w:numId w:val="4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Организовать консультационную помощь в усвоении предмета.</w:t>
      </w:r>
    </w:p>
    <w:p>
      <w:pPr>
        <w:pStyle w:val="Style19"/>
        <w:widowControl/>
        <w:numPr>
          <w:ilvl w:val="0"/>
          <w:numId w:val="4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Активизировать и углубить индивидуальную работу с одаренными детьми.</w:t>
      </w:r>
    </w:p>
    <w:p>
      <w:pPr>
        <w:pStyle w:val="Style19"/>
        <w:widowControl/>
        <w:numPr>
          <w:ilvl w:val="0"/>
          <w:numId w:val="4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Использовать современные компьютерные технологии на уроках.</w:t>
      </w:r>
    </w:p>
    <w:p>
      <w:pPr>
        <w:pStyle w:val="Style19"/>
        <w:widowControl/>
        <w:numPr>
          <w:ilvl w:val="0"/>
          <w:numId w:val="0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9"/>
        <w:widowControl/>
        <w:shd w:val="clear" w:fill="F5F5F5"/>
        <w:spacing w:lineRule="atLeast" w:line="285" w:before="0" w:after="0"/>
        <w:ind w:left="0" w:right="0" w:hanging="0"/>
        <w:jc w:val="center"/>
        <w:rPr>
          <w:rFonts w:ascii="Liberation Serif" w:hAnsi="Liberation Serif"/>
          <w:color w:val="00000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Вывод:</w:t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ab/>
        <w:t>В целом работу МО учителей математики и информатики, за 2019-2020 учебный год можно признать </w:t>
      </w: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удовлетворительной.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Всем учителям систематически отслеживать результаты учебного процесса по математике и информатике, повышать качество обучения путем дифференциации и индивидуализации образовательного процесса.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Liberation Serif" w:hAnsi="Liberation Serif"/>
          <w:color w:val="00000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Всем учителям МО активно принимать участие в муниципальных, региональных и республиканских конкурсах и проектах по соответствующему профилю.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 следующем учебном году разработать руководителю контрольные срезы по предметам по четвертям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Согласовать график взаимных посещений уроков.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Отслеживать работу по накоплению и обобщению передового педагогического опыта.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При планировании учесть имеющиеся слабые стороны в работе учителей с целью устранения проблем.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before="0" w:after="0"/>
        <w:ind w:left="0" w:right="0" w:hanging="0"/>
        <w:rPr>
          <w:rFonts w:ascii="Open Sans;sans-serif" w:hAnsi="Open Sans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 работе ШМО по повышению профессионального мастерства обратить внимание на следующие умения: технология подготовки урока и его самоанализ, самоконтроль своей деятельности, применение новых технологий и их элементов.</w:t>
      </w:r>
    </w:p>
    <w:p>
      <w:pPr>
        <w:pStyle w:val="Style19"/>
        <w:widowControl/>
        <w:numPr>
          <w:ilvl w:val="0"/>
          <w:numId w:val="5"/>
        </w:numPr>
        <w:shd w:val="clear" w:fill="F5F5F5"/>
        <w:tabs>
          <w:tab w:val="left" w:pos="0" w:leader="none"/>
        </w:tabs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Для дальнейшей плодотворной работы необходимо рассмотреть вопрос о более плодотворной работе методического объединения с целью развития методики сотрудничества, толерантности, создания условий для внедрения развивающего обучения, элементов личностно-ориентированного обучения.</w:t>
      </w:r>
    </w:p>
    <w:p>
      <w:pPr>
        <w:pStyle w:val="Style19"/>
        <w:widowControl/>
        <w:shd w:val="clear" w:fill="F5F5F5"/>
        <w:spacing w:lineRule="atLeast" w:line="285" w:before="0" w:after="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lineRule="atLeast" w:line="285" w:before="0" w:after="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9"/>
        <w:widowControl/>
        <w:shd w:val="clear" w:fill="F5F5F5"/>
        <w:spacing w:before="0" w:after="0"/>
        <w:ind w:left="0" w:right="0" w:hanging="0"/>
        <w:rPr>
          <w:rFonts w:ascii="Liberation Serif" w:hAnsi="Liberation Serif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Руководитель МО  </w:t>
        <w:tab/>
        <w:tab/>
        <w:tab/>
        <w:tab/>
        <w:tab/>
        <w:tab/>
        <w:tab/>
        <w:tab/>
        <w:tab/>
        <w:tab/>
        <w:tab/>
        <w:tab/>
        <w:t>С.Карымшаков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Times New Roman">
    <w:altName w:val="serif"/>
    <w:charset w:val="01"/>
    <w:family w:val="roman"/>
    <w:pitch w:val="variable"/>
  </w:font>
  <w:font w:name="Open Sans">
    <w:altName w:val="sans-serif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altName w:val="verdana"/>
    <w:charset w:val="01"/>
    <w:family w:val="roman"/>
    <w:pitch w:val="variable"/>
  </w:font>
  <w:font w:name="Arial">
    <w:altName w:val="Helvetica"/>
    <w:charset w:val="01"/>
    <w:family w:val="roman"/>
    <w:pitch w:val="variable"/>
  </w:font>
  <w:font w:name="Verdana">
    <w:altName w:val="sans-serif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lvl w:ilvl="0">
      <w:start w:val="1"/>
      <w:numFmt w:val="decimal"/>
      <w:suff w:val="nothing"/>
      <w:lvlText w:val="%1."/>
      <w:lvlJc w:val="left"/>
      <w:pPr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lvl w:ilvl="0">
      <w:start w:val="1"/>
      <w:numFmt w:val="decimal"/>
      <w:suff w:val="nothing"/>
      <w:lvlText w:val="%1."/>
      <w:lvlJc w:val="left"/>
      <w:pPr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lvl w:ilvl="0">
      <w:start w:val="1"/>
      <w:numFmt w:val="decimal"/>
      <w:suff w:val="nothing"/>
      <w:lvlText w:val="%1."/>
      <w:lvlJc w:val="left"/>
      <w:pPr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6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Micro Hei" w:cs="Lohit Devanagari"/>
      <w:color w:val="00000A"/>
      <w:sz w:val="24"/>
      <w:szCs w:val="24"/>
      <w:lang w:val="ru-RU" w:eastAsia="zh-CN" w:bidi="hi-IN"/>
    </w:rPr>
  </w:style>
  <w:style w:type="paragraph" w:styleId="2">
    <w:name w:val="Heading 2"/>
    <w:basedOn w:val="Style18"/>
    <w:qFormat/>
    <w:pPr>
      <w:numPr>
        <w:ilvl w:val="1"/>
        <w:numId w:val="1"/>
      </w:numPr>
      <w:spacing w:before="200" w:after="120"/>
      <w:outlineLvl w:val="1"/>
      <w:outlineLvl w:val="1"/>
    </w:pPr>
    <w:rPr>
      <w:rFonts w:ascii="Liberation Serif" w:hAnsi="Liberation Serif" w:eastAsia="WenQuanYi Micro Hei" w:cs="Lohit Devanagari"/>
      <w:b/>
      <w:bCs/>
      <w:sz w:val="36"/>
      <w:szCs w:val="36"/>
    </w:rPr>
  </w:style>
  <w:style w:type="character" w:styleId="Style13">
    <w:name w:val="Символ нумерации"/>
    <w:qFormat/>
    <w:rPr/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imes New Roman;serif" w:hAnsi="Times New Roman;serif" w:cs="OpenSymbol"/>
      <w:b w:val="false"/>
      <w:sz w:val="24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Open Sans;sans-serif" w:hAnsi="Open Sans;sans-serif" w:cs="OpenSymbol"/>
      <w:b w:val="false"/>
      <w:sz w:val="21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ascii="Times New Roman;serif" w:hAnsi="Times New Roman;serif" w:cs="OpenSymbol"/>
      <w:b w:val="false"/>
      <w:sz w:val="24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ascii="Open Sans;sans-serif" w:hAnsi="Open Sans;sans-serif" w:cs="OpenSymbol"/>
      <w:b w:val="false"/>
      <w:sz w:val="21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ascii="Times New Roman;serif" w:hAnsi="Times New Roman;serif" w:cs="OpenSymbol"/>
      <w:b w:val="false"/>
      <w:sz w:val="24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Open Sans;sans-serif" w:hAnsi="Open Sans;sans-serif" w:cs="OpenSymbol"/>
      <w:b w:val="false"/>
      <w:sz w:val="21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ascii="Times New Roman;serif" w:hAnsi="Times New Roman;serif" w:cs="OpenSymbol"/>
      <w:b w:val="false"/>
      <w:sz w:val="24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ascii="Open Sans;sans-serif" w:hAnsi="Open Sans;sans-serif" w:cs="OpenSymbol"/>
      <w:b w:val="false"/>
      <w:sz w:val="21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Times New Roman;serif" w:hAnsi="Times New Roman;serif" w:cs="OpenSymbol"/>
      <w:b w:val="false"/>
      <w:sz w:val="24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ascii="Open Sans;sans-serif" w:hAnsi="Open Sans;sans-serif" w:cs="OpenSymbol"/>
      <w:b w:val="false"/>
      <w:sz w:val="21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Times New Roman;serif" w:hAnsi="Times New Roman;serif" w:cs="OpenSymbol"/>
      <w:b w:val="false"/>
      <w:sz w:val="24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ascii="Open Sans;sans-serif" w:hAnsi="Open Sans;sans-serif" w:cs="OpenSymbol"/>
      <w:b w:val="false"/>
      <w:sz w:val="21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ascii="Times New Roman;serif" w:hAnsi="Times New Roman;serif" w:cs="OpenSymbol"/>
      <w:b w:val="false"/>
      <w:sz w:val="24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ascii="Open Sans;sans-serif" w:hAnsi="Open Sans;sans-serif" w:cs="OpenSymbol"/>
      <w:b w:val="false"/>
      <w:sz w:val="21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ascii="Times New Roman;serif" w:hAnsi="Times New Roman;serif" w:cs="OpenSymbol"/>
      <w:b w:val="false"/>
      <w:sz w:val="24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ascii="Open Sans;sans-serif" w:hAnsi="Open Sans;sans-serif" w:cs="OpenSymbol"/>
      <w:b w:val="false"/>
      <w:sz w:val="21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ascii="Times New Roman;serif" w:hAnsi="Times New Roman;serif" w:cs="OpenSymbol"/>
      <w:b w:val="false"/>
      <w:sz w:val="24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ascii="Open Sans;sans-serif" w:hAnsi="Open Sans;sans-serif" w:cs="OpenSymbol"/>
      <w:b w:val="false"/>
      <w:sz w:val="21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ascii="Times New Roman;serif" w:hAnsi="Times New Roman;serif" w:cs="OpenSymbol"/>
      <w:b w:val="false"/>
      <w:sz w:val="24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ascii="Open Sans;sans-serif" w:hAnsi="Open Sans;sans-serif" w:cs="OpenSymbol"/>
      <w:b w:val="false"/>
      <w:sz w:val="21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Цитата"/>
    <w:qFormat/>
    <w:rPr>
      <w:i/>
      <w:iCs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Содержимое таблицы"/>
    <w:basedOn w:val="Normal"/>
    <w:qFormat/>
    <w:pPr/>
    <w:rPr/>
  </w:style>
  <w:style w:type="paragraph" w:styleId="Style24">
    <w:name w:val="Заголовок таблицы"/>
    <w:basedOn w:val="Style23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1054</TotalTime>
  <Application>LibreOffice/5.1.6.2$Linux_x86 LibreOffice_project/10m0$Build-2</Application>
  <Pages>14</Pages>
  <Words>2521</Words>
  <Characters>17180</Characters>
  <CharactersWithSpaces>20414</CharactersWithSpaces>
  <Paragraphs>369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2021-05-09T20:43:08Z</dcterms:created>
  <dc:creator/>
  <dc:description/>
  <dc:language>ru-RU</dc:language>
  <cp:lastModifiedBy/>
  <dcterms:modified xsi:type="dcterms:W3CDTF">2021-06-22T14:06:58Z</dcterms:modified>
  <cp:revision>95</cp:revision>
  <dc:subject/>
  <dc:title/>
</cp:coreProperties>
</file>