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embeddings/_____Microsoft_Office_Excel1.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Сравнительная диаграмма результатов ОРТ средней общеобразовательной школы №27 г. Бишкек   2016-2021 учебные года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Результаты Общереспубликанского  тестирования, </w:t>
      </w:r>
      <w:r>
        <w:rPr>
          <w:rFonts w:cs="Times New Roman" w:ascii="Times New Roman" w:hAnsi="Times New Roman"/>
          <w:sz w:val="24"/>
          <w:szCs w:val="24"/>
        </w:rPr>
        <w:t xml:space="preserve"> организованном  Центром оценки в образовании и методов обучения, в котором принимают участие все ученики 11 классов. Общереспубликанское тестирование – это процедура, совмещающая оценку знаний учащихся выпускных классов республики и вступительные испытания в ВУЗ.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Проведение теста преследует следующие цели: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-обеспечение  объективной оценки знаний, умений, навыков, полученных за время обучения в школе;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-определение готовности и способности к дальнейшему обучению в ВУЗе;     -  развитие современных способов оценивания знаний.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Во многом приоритетные направления знаний, умений, навыков учащихся в тестах ОРТ отличается от сложившейся системы контроля в школах. При тестировании от учащихся 11-х классов требуется: осмысленное знание ключевых понятий, умение выстроить алгоритм выполнения заданий и использовать его при решении заданий и ответах на вопрос, уметь применять свои знания и навыки в зависимости от возникающих потребностей, умение размышлять, анализировать, делать выводы.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тест не включаются задания, требующие сложных вычислений и вопросы, требующие  исключительно воспроизведения  знаний, а именно такой подход на экзаменах в 11-х классах практикуется многие десятки лет.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Результаты  ОРТ показали, что уровень оценки знаний, умений, навыков, полученный за время обучения в школе разный. Набранные баллы колеблются. 59  выпускников  набрали выше  порогового балла(110). Пороговый балл, определенный Министерством образования и науки, на грантовые места -110 баллов.</w:t>
      </w:r>
    </w:p>
    <w:p>
      <w:pPr>
        <w:pStyle w:val="Normal"/>
        <w:spacing w:lineRule="auto" w:line="36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Диаграммы, приведенные ниже, показывают распределение  выпускников в зависимости от суммы набранных баллов по основному тесту за 3 года. Средний балл по выпускникам  в 2016-17 учебном году составляет 127 баллов, максимальный балл 198, в 2017-2018  году  максимальный балл 197 и средний балл 145.В  учебном 2018-2019  году  максимальный балл 190 и средний балл  по школе 141.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-709" w:right="-142"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915025" cy="348361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         </w:t>
      </w:r>
      <w:r>
        <w:rPr>
          <w:rFonts w:ascii="Times New Roman" w:hAnsi="Times New Roman"/>
          <w:b/>
          <w:bCs/>
          <w:i w:val="false"/>
          <w:iCs w:val="false"/>
        </w:rPr>
        <w:t>Анализ результатов ОРТ за три года</w:t>
      </w:r>
    </w:p>
    <w:tbl>
      <w:tblPr>
        <w:tblW w:w="9638" w:type="dxa"/>
        <w:jc w:val="left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204"/>
        <w:gridCol w:w="1205"/>
        <w:gridCol w:w="1205"/>
        <w:gridCol w:w="1205"/>
        <w:gridCol w:w="1204"/>
        <w:gridCol w:w="1205"/>
        <w:gridCol w:w="1205"/>
        <w:gridCol w:w="1203"/>
      </w:tblGrid>
      <w:tr>
        <w:trPr/>
        <w:tc>
          <w:tcPr>
            <w:tcW w:w="120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Учебный</w:t>
            </w:r>
          </w:p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год        </w:t>
            </w:r>
          </w:p>
        </w:tc>
        <w:tc>
          <w:tcPr>
            <w:tcW w:w="12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</w:p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2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Максималь-</w:t>
            </w:r>
          </w:p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ный балл </w:t>
            </w:r>
          </w:p>
        </w:tc>
        <w:tc>
          <w:tcPr>
            <w:tcW w:w="12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24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Получили более</w:t>
            </w:r>
          </w:p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24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>Получили менее</w:t>
            </w:r>
          </w:p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</w:tr>
      <w:tr>
        <w:trPr/>
        <w:tc>
          <w:tcPr>
            <w:tcW w:w="120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2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2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20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Колич.учащ.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Колич.учащ.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>2018-2019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22</w:t>
            </w:r>
          </w:p>
        </w:tc>
      </w:tr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15</w:t>
            </w:r>
          </w:p>
        </w:tc>
      </w:tr>
      <w:tr>
        <w:trPr/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20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26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Результаты Общереспубликанского тестирования выпускников средней общеобразовательной школы №27</w:t>
      </w:r>
    </w:p>
    <w:tbl>
      <w:tblPr>
        <w:tblStyle w:val="a5"/>
        <w:tblW w:w="971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1936"/>
        <w:gridCol w:w="1558"/>
        <w:gridCol w:w="1555"/>
        <w:gridCol w:w="1555"/>
        <w:gridCol w:w="1555"/>
        <w:gridCol w:w="1554"/>
      </w:tblGrid>
      <w:tr>
        <w:trPr/>
        <w:tc>
          <w:tcPr>
            <w:tcW w:w="19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Данные за 5лет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>
        <w:trPr/>
        <w:tc>
          <w:tcPr>
            <w:tcW w:w="19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выпускников, участвовавших в ОРТ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97%</w:t>
            </w:r>
          </w:p>
        </w:tc>
      </w:tr>
      <w:tr>
        <w:trPr/>
        <w:tc>
          <w:tcPr>
            <w:tcW w:w="19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 значение балла по ОРТ выпускников образовательной организации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>
        <w:trPr/>
        <w:tc>
          <w:tcPr>
            <w:tcW w:w="193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Доля участников в ОРТ, получивших более 110 баллов</w:t>
            </w:r>
          </w:p>
        </w:tc>
        <w:tc>
          <w:tcPr>
            <w:tcW w:w="15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5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5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5a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b5a83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b5a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b2d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Сравнительная диаграмма результатов  ОРТ 
2016-2019 учебного года 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76-110</c:v>
                </c:pt>
                <c:pt idx="1">
                  <c:v>110-140</c:v>
                </c:pt>
                <c:pt idx="2">
                  <c:v>140-160</c:v>
                </c:pt>
                <c:pt idx="3">
                  <c:v>160-180</c:v>
                </c:pt>
                <c:pt idx="4">
                  <c:v>180-197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</c:v>
                </c:pt>
                <c:pt idx="1">
                  <c:v>27</c:v>
                </c:pt>
                <c:pt idx="2">
                  <c:v>26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76-110</c:v>
                </c:pt>
                <c:pt idx="1">
                  <c:v>110-140</c:v>
                </c:pt>
                <c:pt idx="2">
                  <c:v>140-160</c:v>
                </c:pt>
                <c:pt idx="3">
                  <c:v>160-180</c:v>
                </c:pt>
                <c:pt idx="4">
                  <c:v>180-197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11</c:v>
                </c:pt>
                <c:pt idx="1">
                  <c:v>24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76-110</c:v>
                </c:pt>
                <c:pt idx="1">
                  <c:v>110-140</c:v>
                </c:pt>
                <c:pt idx="2">
                  <c:v>140-160</c:v>
                </c:pt>
                <c:pt idx="3">
                  <c:v>160-180</c:v>
                </c:pt>
                <c:pt idx="4">
                  <c:v>180-197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17</c:v>
                </c:pt>
                <c:pt idx="1">
                  <c:v>30</c:v>
                </c:pt>
                <c:pt idx="2">
                  <c:v>21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gapWidth val="150"/>
        <c:overlap val="0"/>
        <c:axId val="610627"/>
        <c:axId val="37478316"/>
      </c:barChart>
      <c:catAx>
        <c:axId val="61062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37478316"/>
        <c:crosses val="autoZero"/>
        <c:auto val="1"/>
        <c:lblAlgn val="ctr"/>
        <c:lblOffset val="100"/>
      </c:catAx>
      <c:valAx>
        <c:axId val="3747831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10627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LibreOffice/5.1.6.2$Linux_x86 LibreOffice_project/10m0$Build-2</Application>
  <Pages>3</Pages>
  <Words>361</Words>
  <Characters>2294</Characters>
  <CharactersWithSpaces>2855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2021-11-03T10:38:00Z</dcterms:created>
  <dc:creator>Пользователь Windows</dc:creator>
  <dc:description/>
  <dc:language>ru-RU</dc:language>
  <cp:lastModifiedBy/>
  <cp:lastPrinted>2021-11-03T16:52:12Z</cp:lastPrinted>
  <dcterms:modified xsi:type="dcterms:W3CDTF">2021-11-04T13:59:31Z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